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6EE0" w:rsidRDefault="009A6EE0" w:rsidP="009A6EE0">
      <w:pPr>
        <w:pStyle w:val="a3"/>
        <w:shd w:val="clear" w:color="auto" w:fill="FFFFFF"/>
        <w:spacing w:before="0" w:beforeAutospacing="0" w:after="0" w:afterAutospacing="0" w:line="240" w:lineRule="exact"/>
        <w:jc w:val="center"/>
        <w:rPr>
          <w:rFonts w:ascii="微软雅黑" w:eastAsia="微软雅黑" w:hAnsi="微软雅黑"/>
          <w:b/>
          <w:bCs/>
          <w:color w:val="333333"/>
          <w:sz w:val="22"/>
          <w:szCs w:val="22"/>
          <w:bdr w:val="none" w:sz="0" w:space="0" w:color="auto" w:frame="1"/>
        </w:rPr>
      </w:pPr>
    </w:p>
    <w:p w:rsidR="00A80588" w:rsidRPr="009A6EE0" w:rsidRDefault="00A80588" w:rsidP="009A6EE0">
      <w:pPr>
        <w:pStyle w:val="a3"/>
        <w:shd w:val="clear" w:color="auto" w:fill="FFFFFF"/>
        <w:spacing w:before="0" w:beforeAutospacing="0" w:after="0" w:afterAutospacing="0" w:line="600" w:lineRule="exact"/>
        <w:jc w:val="center"/>
        <w:rPr>
          <w:rFonts w:ascii="微软雅黑" w:eastAsia="微软雅黑" w:hAnsi="微软雅黑"/>
          <w:b/>
          <w:bCs/>
          <w:color w:val="002060"/>
          <w:sz w:val="40"/>
          <w:szCs w:val="40"/>
          <w:bdr w:val="none" w:sz="0" w:space="0" w:color="auto" w:frame="1"/>
        </w:rPr>
      </w:pPr>
      <w:r w:rsidRPr="009A6EE0">
        <w:rPr>
          <w:rFonts w:ascii="微软雅黑" w:eastAsia="微软雅黑" w:hAnsi="微软雅黑" w:hint="eastAsia"/>
          <w:b/>
          <w:bCs/>
          <w:color w:val="002060"/>
          <w:sz w:val="40"/>
          <w:szCs w:val="40"/>
          <w:bdr w:val="none" w:sz="0" w:space="0" w:color="auto" w:frame="1"/>
        </w:rPr>
        <w:t>成品油零售加油站增值税征收管理办法</w:t>
      </w:r>
    </w:p>
    <w:p w:rsidR="009A6EE0" w:rsidRPr="009A6EE0" w:rsidRDefault="009A6EE0" w:rsidP="009A6EE0">
      <w:pPr>
        <w:pStyle w:val="a3"/>
        <w:shd w:val="clear" w:color="auto" w:fill="FFFFFF"/>
        <w:spacing w:before="0" w:beforeAutospacing="0" w:after="0" w:afterAutospacing="0" w:line="240" w:lineRule="exact"/>
        <w:jc w:val="center"/>
        <w:rPr>
          <w:rFonts w:ascii="微软雅黑" w:eastAsia="微软雅黑" w:hAnsi="微软雅黑"/>
          <w:b/>
          <w:bCs/>
          <w:color w:val="333333"/>
          <w:sz w:val="22"/>
          <w:szCs w:val="22"/>
          <w:bdr w:val="none" w:sz="0" w:space="0" w:color="auto" w:frame="1"/>
        </w:rPr>
      </w:pPr>
    </w:p>
    <w:p w:rsidR="009A6EE0" w:rsidRPr="009A6EE0" w:rsidRDefault="009A6EE0" w:rsidP="009A6EE0">
      <w:pPr>
        <w:pStyle w:val="a3"/>
        <w:shd w:val="clear" w:color="auto" w:fill="FFFFFF"/>
        <w:spacing w:before="0" w:beforeAutospacing="0" w:after="0" w:afterAutospacing="0" w:line="240" w:lineRule="exact"/>
        <w:jc w:val="center"/>
        <w:rPr>
          <w:rFonts w:ascii="微软雅黑" w:eastAsia="微软雅黑" w:hAnsi="微软雅黑"/>
          <w:color w:val="333333"/>
          <w:sz w:val="22"/>
          <w:szCs w:val="22"/>
          <w:bdr w:val="none" w:sz="0" w:space="0" w:color="auto" w:frame="1"/>
        </w:rPr>
      </w:pPr>
      <w:r w:rsidRPr="009A6EE0">
        <w:rPr>
          <w:rFonts w:ascii="微软雅黑" w:eastAsia="微软雅黑" w:hAnsi="微软雅黑" w:hint="eastAsia"/>
          <w:color w:val="333333"/>
          <w:sz w:val="22"/>
          <w:szCs w:val="22"/>
          <w:bdr w:val="none" w:sz="0" w:space="0" w:color="auto" w:frame="1"/>
        </w:rPr>
        <w:t>2</w:t>
      </w:r>
      <w:r w:rsidRPr="009A6EE0">
        <w:rPr>
          <w:rFonts w:ascii="微软雅黑" w:eastAsia="微软雅黑" w:hAnsi="微软雅黑"/>
          <w:color w:val="333333"/>
          <w:sz w:val="22"/>
          <w:szCs w:val="22"/>
          <w:bdr w:val="none" w:sz="0" w:space="0" w:color="auto" w:frame="1"/>
        </w:rPr>
        <w:t>002-05-01</w:t>
      </w:r>
    </w:p>
    <w:p w:rsidR="009A6EE0" w:rsidRPr="009A6EE0" w:rsidRDefault="009A6EE0" w:rsidP="009A6EE0">
      <w:pPr>
        <w:pStyle w:val="a3"/>
        <w:shd w:val="clear" w:color="auto" w:fill="FFFFFF"/>
        <w:spacing w:before="0" w:beforeAutospacing="0" w:after="0" w:afterAutospacing="0" w:line="240" w:lineRule="exact"/>
        <w:jc w:val="center"/>
        <w:rPr>
          <w:rFonts w:ascii="微软雅黑" w:eastAsia="微软雅黑" w:hAnsi="微软雅黑" w:hint="eastAsia"/>
          <w:color w:val="333333"/>
          <w:sz w:val="22"/>
          <w:szCs w:val="22"/>
        </w:rPr>
      </w:pPr>
    </w:p>
    <w:p w:rsidR="009A6EE0" w:rsidRDefault="00A80588" w:rsidP="009A6EE0">
      <w:pPr>
        <w:pStyle w:val="a3"/>
        <w:shd w:val="clear" w:color="auto" w:fill="FFFFFF"/>
        <w:spacing w:before="0" w:beforeAutospacing="0" w:after="0" w:afterAutospacing="0" w:line="240" w:lineRule="exact"/>
        <w:jc w:val="center"/>
        <w:rPr>
          <w:rFonts w:ascii="微软雅黑" w:eastAsia="微软雅黑" w:hAnsi="微软雅黑"/>
          <w:color w:val="333333"/>
          <w:sz w:val="22"/>
          <w:szCs w:val="22"/>
          <w:bdr w:val="none" w:sz="0" w:space="0" w:color="auto" w:frame="1"/>
        </w:rPr>
      </w:pPr>
      <w:r w:rsidRPr="009A6EE0">
        <w:rPr>
          <w:rFonts w:ascii="微软雅黑" w:eastAsia="微软雅黑" w:hAnsi="微软雅黑" w:hint="eastAsia"/>
          <w:color w:val="333333"/>
          <w:sz w:val="22"/>
          <w:szCs w:val="22"/>
          <w:bdr w:val="none" w:sz="0" w:space="0" w:color="auto" w:frame="1"/>
        </w:rPr>
        <w:t>（2002年4月2日国家税务总局令第2号公布 自2002年5月1日起施行）</w:t>
      </w:r>
    </w:p>
    <w:p w:rsidR="00A80588" w:rsidRPr="009A6EE0" w:rsidRDefault="00A80588" w:rsidP="009A6EE0">
      <w:pPr>
        <w:pStyle w:val="a3"/>
        <w:shd w:val="clear" w:color="auto" w:fill="FFFFFF"/>
        <w:spacing w:before="0" w:beforeAutospacing="0" w:after="0" w:afterAutospacing="0" w:line="320" w:lineRule="exact"/>
        <w:rPr>
          <w:rFonts w:ascii="微软雅黑" w:eastAsia="微软雅黑" w:hAnsi="微软雅黑"/>
          <w:color w:val="333333"/>
          <w:sz w:val="22"/>
          <w:szCs w:val="22"/>
        </w:rPr>
      </w:pPr>
    </w:p>
    <w:p w:rsidR="00A80588" w:rsidRPr="009A6EE0" w:rsidRDefault="00A80588" w:rsidP="009A6EE0">
      <w:pPr>
        <w:pStyle w:val="a3"/>
        <w:shd w:val="clear" w:color="auto" w:fill="FFFFFF"/>
        <w:spacing w:before="0" w:beforeAutospacing="0" w:after="0" w:afterAutospacing="0" w:line="320" w:lineRule="exact"/>
        <w:ind w:firstLine="480"/>
        <w:rPr>
          <w:rFonts w:ascii="微软雅黑" w:eastAsia="微软雅黑" w:hAnsi="微软雅黑"/>
          <w:color w:val="333333"/>
        </w:rPr>
      </w:pPr>
      <w:r w:rsidRPr="00986E4A">
        <w:rPr>
          <w:rFonts w:ascii="微软雅黑" w:eastAsia="微软雅黑" w:hAnsi="微软雅黑" w:hint="eastAsia"/>
          <w:b/>
          <w:bCs/>
          <w:color w:val="333333"/>
          <w:bdr w:val="none" w:sz="0" w:space="0" w:color="auto" w:frame="1"/>
        </w:rPr>
        <w:t>第一条</w:t>
      </w:r>
      <w:r w:rsidRPr="009A6EE0">
        <w:rPr>
          <w:rFonts w:ascii="微软雅黑" w:eastAsia="微软雅黑" w:hAnsi="微软雅黑" w:cs="Calibri"/>
          <w:color w:val="333333"/>
          <w:bdr w:val="none" w:sz="0" w:space="0" w:color="auto" w:frame="1"/>
        </w:rPr>
        <w:t> </w:t>
      </w:r>
      <w:r w:rsidRPr="009A6EE0">
        <w:rPr>
          <w:rFonts w:ascii="微软雅黑" w:eastAsia="微软雅黑" w:hAnsi="微软雅黑" w:hint="eastAsia"/>
          <w:color w:val="333333"/>
          <w:bdr w:val="none" w:sz="0" w:space="0" w:color="auto" w:frame="1"/>
        </w:rPr>
        <w:t>为加强成品油零售加油站的增值税征收管理，堵塞税收管理漏洞，根据《中华人民共和国税收征收管理法》、《中华人民共和国增值税暂行条例》及有关税收政策规定，制定本办法。</w:t>
      </w:r>
    </w:p>
    <w:p w:rsidR="00A80588" w:rsidRPr="009A6EE0" w:rsidRDefault="00A80588" w:rsidP="009A6EE0">
      <w:pPr>
        <w:pStyle w:val="a3"/>
        <w:shd w:val="clear" w:color="auto" w:fill="FFFFFF"/>
        <w:spacing w:before="0" w:beforeAutospacing="0" w:after="0" w:afterAutospacing="0" w:line="320" w:lineRule="exact"/>
        <w:ind w:firstLine="480"/>
        <w:rPr>
          <w:rFonts w:ascii="微软雅黑" w:eastAsia="微软雅黑" w:hAnsi="微软雅黑"/>
          <w:color w:val="333333"/>
        </w:rPr>
      </w:pPr>
      <w:r w:rsidRPr="00986E4A">
        <w:rPr>
          <w:rFonts w:ascii="微软雅黑" w:eastAsia="微软雅黑" w:hAnsi="微软雅黑" w:hint="eastAsia"/>
          <w:b/>
          <w:bCs/>
          <w:color w:val="333333"/>
          <w:bdr w:val="none" w:sz="0" w:space="0" w:color="auto" w:frame="1"/>
        </w:rPr>
        <w:t>第二条</w:t>
      </w:r>
      <w:r w:rsidRPr="009A6EE0">
        <w:rPr>
          <w:rFonts w:ascii="微软雅黑" w:eastAsia="微软雅黑" w:hAnsi="微软雅黑" w:cs="Calibri"/>
          <w:color w:val="333333"/>
          <w:bdr w:val="none" w:sz="0" w:space="0" w:color="auto" w:frame="1"/>
        </w:rPr>
        <w:t> </w:t>
      </w:r>
      <w:r w:rsidRPr="009A6EE0">
        <w:rPr>
          <w:rFonts w:ascii="微软雅黑" w:eastAsia="微软雅黑" w:hAnsi="微软雅黑" w:hint="eastAsia"/>
          <w:color w:val="333333"/>
          <w:bdr w:val="none" w:sz="0" w:space="0" w:color="auto" w:frame="1"/>
        </w:rPr>
        <w:t>凡经经贸委批准从事成品油零售业务，并已办理工商、税务登记，有固定经营场所，使用加油机自动计量销售成品油的单位和个体经营者（以下简称加油站），适用本办法。</w:t>
      </w:r>
    </w:p>
    <w:p w:rsidR="00A80588" w:rsidRPr="009A6EE0" w:rsidRDefault="00A80588" w:rsidP="009A6EE0">
      <w:pPr>
        <w:pStyle w:val="a3"/>
        <w:shd w:val="clear" w:color="auto" w:fill="FFFFFF"/>
        <w:spacing w:before="0" w:beforeAutospacing="0" w:after="0" w:afterAutospacing="0" w:line="320" w:lineRule="exact"/>
        <w:ind w:firstLine="480"/>
        <w:rPr>
          <w:rFonts w:ascii="微软雅黑" w:eastAsia="微软雅黑" w:hAnsi="微软雅黑"/>
          <w:color w:val="333333"/>
        </w:rPr>
      </w:pPr>
      <w:r w:rsidRPr="00986E4A">
        <w:rPr>
          <w:rFonts w:ascii="微软雅黑" w:eastAsia="微软雅黑" w:hAnsi="微软雅黑" w:hint="eastAsia"/>
          <w:b/>
          <w:bCs/>
          <w:color w:val="333333"/>
          <w:bdr w:val="none" w:sz="0" w:space="0" w:color="auto" w:frame="1"/>
        </w:rPr>
        <w:t>第三条</w:t>
      </w:r>
      <w:r w:rsidRPr="009A6EE0">
        <w:rPr>
          <w:rFonts w:ascii="微软雅黑" w:eastAsia="微软雅黑" w:hAnsi="微软雅黑" w:cs="Calibri"/>
          <w:color w:val="333333"/>
          <w:bdr w:val="none" w:sz="0" w:space="0" w:color="auto" w:frame="1"/>
        </w:rPr>
        <w:t> </w:t>
      </w:r>
      <w:r w:rsidRPr="009A6EE0">
        <w:rPr>
          <w:rFonts w:ascii="微软雅黑" w:eastAsia="微软雅黑" w:hAnsi="微软雅黑" w:hint="eastAsia"/>
          <w:color w:val="333333"/>
          <w:bdr w:val="none" w:sz="0" w:space="0" w:color="auto" w:frame="1"/>
        </w:rPr>
        <w:t>本办法第一条所称加油站，一律按照《国家税务总局关于加油站一律按照增值税一般纳税人征税的通知》（国税函〔2001〕882号）认定为增值税一般纳税人；并根据《中华人民共和国增值税暂行条例》有关规定进行征收管理。</w:t>
      </w:r>
    </w:p>
    <w:p w:rsidR="00A80588" w:rsidRPr="009A6EE0" w:rsidRDefault="00A80588" w:rsidP="009A6EE0">
      <w:pPr>
        <w:pStyle w:val="a3"/>
        <w:shd w:val="clear" w:color="auto" w:fill="FFFFFF"/>
        <w:spacing w:before="0" w:beforeAutospacing="0" w:after="0" w:afterAutospacing="0" w:line="320" w:lineRule="exact"/>
        <w:ind w:firstLine="480"/>
        <w:rPr>
          <w:rFonts w:ascii="微软雅黑" w:eastAsia="微软雅黑" w:hAnsi="微软雅黑"/>
          <w:color w:val="333333"/>
        </w:rPr>
      </w:pPr>
      <w:r w:rsidRPr="00986E4A">
        <w:rPr>
          <w:rFonts w:ascii="微软雅黑" w:eastAsia="微软雅黑" w:hAnsi="微软雅黑" w:hint="eastAsia"/>
          <w:b/>
          <w:bCs/>
          <w:color w:val="333333"/>
          <w:bdr w:val="none" w:sz="0" w:space="0" w:color="auto" w:frame="1"/>
        </w:rPr>
        <w:t>第四条</w:t>
      </w:r>
      <w:r w:rsidRPr="009A6EE0">
        <w:rPr>
          <w:rFonts w:ascii="微软雅黑" w:eastAsia="微软雅黑" w:hAnsi="微软雅黑" w:cs="Calibri"/>
          <w:color w:val="333333"/>
          <w:bdr w:val="none" w:sz="0" w:space="0" w:color="auto" w:frame="1"/>
        </w:rPr>
        <w:t> </w:t>
      </w:r>
      <w:r w:rsidRPr="009A6EE0">
        <w:rPr>
          <w:rFonts w:ascii="微软雅黑" w:eastAsia="微软雅黑" w:hAnsi="微软雅黑" w:hint="eastAsia"/>
          <w:color w:val="333333"/>
          <w:bdr w:val="none" w:sz="0" w:space="0" w:color="auto" w:frame="1"/>
        </w:rPr>
        <w:t>采取统一配送成品</w:t>
      </w:r>
      <w:proofErr w:type="gramStart"/>
      <w:r w:rsidRPr="009A6EE0">
        <w:rPr>
          <w:rFonts w:ascii="微软雅黑" w:eastAsia="微软雅黑" w:hAnsi="微软雅黑" w:hint="eastAsia"/>
          <w:color w:val="333333"/>
          <w:bdr w:val="none" w:sz="0" w:space="0" w:color="auto" w:frame="1"/>
        </w:rPr>
        <w:t>油方式</w:t>
      </w:r>
      <w:proofErr w:type="gramEnd"/>
      <w:r w:rsidRPr="009A6EE0">
        <w:rPr>
          <w:rFonts w:ascii="微软雅黑" w:eastAsia="微软雅黑" w:hAnsi="微软雅黑" w:hint="eastAsia"/>
          <w:color w:val="333333"/>
          <w:bdr w:val="none" w:sz="0" w:space="0" w:color="auto" w:frame="1"/>
        </w:rPr>
        <w:t>设立的非独立核算的加油站，在同一县市的，由总机构汇总缴纳增值税。在同一省内跨县市经营的，是否汇总缴纳增值税，由省级税务机关确定。跨省经营的，是否汇总缴纳增值税，由国家税务总局确定。</w:t>
      </w:r>
    </w:p>
    <w:p w:rsidR="00A80588" w:rsidRPr="009A6EE0" w:rsidRDefault="00A80588" w:rsidP="009A6EE0">
      <w:pPr>
        <w:pStyle w:val="a3"/>
        <w:shd w:val="clear" w:color="auto" w:fill="FFFFFF"/>
        <w:spacing w:before="0" w:beforeAutospacing="0" w:after="0" w:afterAutospacing="0" w:line="320" w:lineRule="exact"/>
        <w:ind w:firstLine="480"/>
        <w:rPr>
          <w:rFonts w:ascii="微软雅黑" w:eastAsia="微软雅黑" w:hAnsi="微软雅黑"/>
          <w:color w:val="333333"/>
        </w:rPr>
      </w:pPr>
      <w:r w:rsidRPr="009A6EE0">
        <w:rPr>
          <w:rFonts w:ascii="微软雅黑" w:eastAsia="微软雅黑" w:hAnsi="微软雅黑" w:hint="eastAsia"/>
          <w:color w:val="333333"/>
          <w:bdr w:val="none" w:sz="0" w:space="0" w:color="auto" w:frame="1"/>
        </w:rPr>
        <w:t>对统一核算，且经税务机关批准汇总缴纳增值税的成品油销售单位跨县市调配成品油的，不征收增值税。</w:t>
      </w:r>
    </w:p>
    <w:p w:rsidR="00A80588" w:rsidRPr="009A6EE0" w:rsidRDefault="00A80588" w:rsidP="009A6EE0">
      <w:pPr>
        <w:pStyle w:val="a3"/>
        <w:shd w:val="clear" w:color="auto" w:fill="FFFFFF"/>
        <w:spacing w:before="0" w:beforeAutospacing="0" w:after="0" w:afterAutospacing="0" w:line="320" w:lineRule="exact"/>
        <w:ind w:firstLine="480"/>
        <w:rPr>
          <w:rFonts w:ascii="微软雅黑" w:eastAsia="微软雅黑" w:hAnsi="微软雅黑"/>
          <w:color w:val="333333"/>
        </w:rPr>
      </w:pPr>
      <w:r w:rsidRPr="00986E4A">
        <w:rPr>
          <w:rFonts w:ascii="微软雅黑" w:eastAsia="微软雅黑" w:hAnsi="微软雅黑" w:hint="eastAsia"/>
          <w:b/>
          <w:bCs/>
          <w:color w:val="333333"/>
          <w:bdr w:val="none" w:sz="0" w:space="0" w:color="auto" w:frame="1"/>
        </w:rPr>
        <w:t>第五条</w:t>
      </w:r>
      <w:r w:rsidRPr="009A6EE0">
        <w:rPr>
          <w:rFonts w:ascii="微软雅黑" w:eastAsia="微软雅黑" w:hAnsi="微软雅黑" w:cs="Calibri"/>
          <w:color w:val="333333"/>
          <w:bdr w:val="none" w:sz="0" w:space="0" w:color="auto" w:frame="1"/>
        </w:rPr>
        <w:t> </w:t>
      </w:r>
      <w:r w:rsidRPr="009A6EE0">
        <w:rPr>
          <w:rFonts w:ascii="微软雅黑" w:eastAsia="微软雅黑" w:hAnsi="微软雅黑" w:hint="eastAsia"/>
          <w:color w:val="333333"/>
          <w:bdr w:val="none" w:sz="0" w:space="0" w:color="auto" w:frame="1"/>
        </w:rPr>
        <w:t>加油站无论以何种结算方式（如收取现金、支票、汇票、加油凭证（簿）、加油卡等）收取售油款，均应征收增值税。加油站销售成品</w:t>
      </w:r>
      <w:proofErr w:type="gramStart"/>
      <w:r w:rsidRPr="009A6EE0">
        <w:rPr>
          <w:rFonts w:ascii="微软雅黑" w:eastAsia="微软雅黑" w:hAnsi="微软雅黑" w:hint="eastAsia"/>
          <w:color w:val="333333"/>
          <w:bdr w:val="none" w:sz="0" w:space="0" w:color="auto" w:frame="1"/>
        </w:rPr>
        <w:t>油必须</w:t>
      </w:r>
      <w:proofErr w:type="gramEnd"/>
      <w:r w:rsidRPr="009A6EE0">
        <w:rPr>
          <w:rFonts w:ascii="微软雅黑" w:eastAsia="微软雅黑" w:hAnsi="微软雅黑" w:hint="eastAsia"/>
          <w:color w:val="333333"/>
          <w:bdr w:val="none" w:sz="0" w:space="0" w:color="auto" w:frame="1"/>
        </w:rPr>
        <w:t>按不同品种分别核算，准确计算应税销售额。加油站以收取加油凭证（簿）、加油卡方式销售成品油，不得向用户开具增值税专用发票。</w:t>
      </w:r>
    </w:p>
    <w:p w:rsidR="00A80588" w:rsidRPr="009A6EE0" w:rsidRDefault="00A80588" w:rsidP="009A6EE0">
      <w:pPr>
        <w:pStyle w:val="a3"/>
        <w:shd w:val="clear" w:color="auto" w:fill="FFFFFF"/>
        <w:spacing w:before="0" w:beforeAutospacing="0" w:after="0" w:afterAutospacing="0" w:line="320" w:lineRule="exact"/>
        <w:ind w:firstLine="480"/>
        <w:rPr>
          <w:rFonts w:ascii="微软雅黑" w:eastAsia="微软雅黑" w:hAnsi="微软雅黑"/>
          <w:color w:val="333333"/>
        </w:rPr>
      </w:pPr>
      <w:r w:rsidRPr="00986E4A">
        <w:rPr>
          <w:rFonts w:ascii="微软雅黑" w:eastAsia="微软雅黑" w:hAnsi="微软雅黑" w:hint="eastAsia"/>
          <w:b/>
          <w:bCs/>
          <w:color w:val="333333"/>
          <w:bdr w:val="none" w:sz="0" w:space="0" w:color="auto" w:frame="1"/>
        </w:rPr>
        <w:t>第六条</w:t>
      </w:r>
      <w:r w:rsidRPr="009A6EE0">
        <w:rPr>
          <w:rFonts w:ascii="微软雅黑" w:eastAsia="微软雅黑" w:hAnsi="微软雅黑" w:cs="Calibri"/>
          <w:color w:val="333333"/>
          <w:bdr w:val="none" w:sz="0" w:space="0" w:color="auto" w:frame="1"/>
        </w:rPr>
        <w:t> </w:t>
      </w:r>
      <w:r w:rsidRPr="009A6EE0">
        <w:rPr>
          <w:rFonts w:ascii="微软雅黑" w:eastAsia="微软雅黑" w:hAnsi="微软雅黑" w:hint="eastAsia"/>
          <w:color w:val="333333"/>
          <w:bdr w:val="none" w:sz="0" w:space="0" w:color="auto" w:frame="1"/>
        </w:rPr>
        <w:t>加油站应税销售额包括当月成品油应税销售额和其他应税货物及劳务的销售额。其中成品油应税销售额的计算公式为：</w:t>
      </w:r>
    </w:p>
    <w:p w:rsidR="00A80588" w:rsidRPr="009A6EE0" w:rsidRDefault="00A80588" w:rsidP="009A6EE0">
      <w:pPr>
        <w:pStyle w:val="a3"/>
        <w:shd w:val="clear" w:color="auto" w:fill="FFFFFF"/>
        <w:spacing w:before="0" w:beforeAutospacing="0" w:after="0" w:afterAutospacing="0" w:line="320" w:lineRule="exact"/>
        <w:ind w:firstLine="480"/>
        <w:rPr>
          <w:rFonts w:ascii="微软雅黑" w:eastAsia="微软雅黑" w:hAnsi="微软雅黑"/>
          <w:color w:val="333333"/>
        </w:rPr>
      </w:pPr>
      <w:r w:rsidRPr="009A6EE0">
        <w:rPr>
          <w:rFonts w:ascii="微软雅黑" w:eastAsia="微软雅黑" w:hAnsi="微软雅黑" w:hint="eastAsia"/>
          <w:color w:val="333333"/>
          <w:bdr w:val="none" w:sz="0" w:space="0" w:color="auto" w:frame="1"/>
        </w:rPr>
        <w:t>成品油应税销售额=（当月全部成品油销售数量-允许扣除的成品油数量）×油品单价</w:t>
      </w:r>
    </w:p>
    <w:p w:rsidR="00A80588" w:rsidRPr="009A6EE0" w:rsidRDefault="00A80588" w:rsidP="009A6EE0">
      <w:pPr>
        <w:pStyle w:val="a3"/>
        <w:shd w:val="clear" w:color="auto" w:fill="FFFFFF"/>
        <w:spacing w:before="0" w:beforeAutospacing="0" w:after="0" w:afterAutospacing="0" w:line="320" w:lineRule="exact"/>
        <w:ind w:firstLine="480"/>
        <w:rPr>
          <w:rFonts w:ascii="微软雅黑" w:eastAsia="微软雅黑" w:hAnsi="微软雅黑"/>
          <w:color w:val="333333"/>
        </w:rPr>
      </w:pPr>
      <w:r w:rsidRPr="00986E4A">
        <w:rPr>
          <w:rFonts w:ascii="微软雅黑" w:eastAsia="微软雅黑" w:hAnsi="微软雅黑" w:hint="eastAsia"/>
          <w:b/>
          <w:bCs/>
          <w:color w:val="333333"/>
          <w:bdr w:val="none" w:sz="0" w:space="0" w:color="auto" w:frame="1"/>
        </w:rPr>
        <w:t>第七条</w:t>
      </w:r>
      <w:r w:rsidRPr="009A6EE0">
        <w:rPr>
          <w:rFonts w:ascii="微软雅黑" w:eastAsia="微软雅黑" w:hAnsi="微软雅黑" w:cs="Calibri"/>
          <w:color w:val="333333"/>
          <w:bdr w:val="none" w:sz="0" w:space="0" w:color="auto" w:frame="1"/>
        </w:rPr>
        <w:t> </w:t>
      </w:r>
      <w:r w:rsidRPr="009A6EE0">
        <w:rPr>
          <w:rFonts w:ascii="微软雅黑" w:eastAsia="微软雅黑" w:hAnsi="微软雅黑" w:hint="eastAsia"/>
          <w:color w:val="333333"/>
          <w:bdr w:val="none" w:sz="0" w:space="0" w:color="auto" w:frame="1"/>
        </w:rPr>
        <w:t>加油站必须按规定建立《加油站日销售油品台账》（附表1，以下</w:t>
      </w:r>
      <w:proofErr w:type="gramStart"/>
      <w:r w:rsidRPr="009A6EE0">
        <w:rPr>
          <w:rFonts w:ascii="微软雅黑" w:eastAsia="微软雅黑" w:hAnsi="微软雅黑" w:hint="eastAsia"/>
          <w:color w:val="333333"/>
          <w:bdr w:val="none" w:sz="0" w:space="0" w:color="auto" w:frame="1"/>
        </w:rPr>
        <w:t>简称台</w:t>
      </w:r>
      <w:proofErr w:type="gramEnd"/>
      <w:r w:rsidRPr="009A6EE0">
        <w:rPr>
          <w:rFonts w:ascii="微软雅黑" w:eastAsia="微软雅黑" w:hAnsi="微软雅黑" w:hint="eastAsia"/>
          <w:color w:val="333333"/>
          <w:bdr w:val="none" w:sz="0" w:space="0" w:color="auto" w:frame="1"/>
        </w:rPr>
        <w:t>账）登记制度。加油站应按日登记台账，按日或交接班次填写，完整、详细地记录当日或本班次的加油情况，月终汇总登记《加油站月销售油品汇总表》（附表2）。</w:t>
      </w:r>
      <w:proofErr w:type="gramStart"/>
      <w:r w:rsidRPr="009A6EE0">
        <w:rPr>
          <w:rFonts w:ascii="微软雅黑" w:eastAsia="微软雅黑" w:hAnsi="微软雅黑" w:hint="eastAsia"/>
          <w:color w:val="333333"/>
          <w:bdr w:val="none" w:sz="0" w:space="0" w:color="auto" w:frame="1"/>
        </w:rPr>
        <w:t>台账须按月</w:t>
      </w:r>
      <w:proofErr w:type="gramEnd"/>
      <w:r w:rsidRPr="009A6EE0">
        <w:rPr>
          <w:rFonts w:ascii="微软雅黑" w:eastAsia="微软雅黑" w:hAnsi="微软雅黑" w:hint="eastAsia"/>
          <w:color w:val="333333"/>
          <w:bdr w:val="none" w:sz="0" w:space="0" w:color="auto" w:frame="1"/>
        </w:rPr>
        <w:t>装订成册，按会计原始账证的期限保管，以备主管税务机关检查。</w:t>
      </w:r>
    </w:p>
    <w:p w:rsidR="00A80588" w:rsidRPr="009A6EE0" w:rsidRDefault="00A80588" w:rsidP="009A6EE0">
      <w:pPr>
        <w:pStyle w:val="a3"/>
        <w:shd w:val="clear" w:color="auto" w:fill="FFFFFF"/>
        <w:spacing w:before="0" w:beforeAutospacing="0" w:after="0" w:afterAutospacing="0" w:line="320" w:lineRule="exact"/>
        <w:ind w:firstLine="480"/>
        <w:rPr>
          <w:rFonts w:ascii="微软雅黑" w:eastAsia="微软雅黑" w:hAnsi="微软雅黑"/>
          <w:color w:val="333333"/>
        </w:rPr>
      </w:pPr>
      <w:r w:rsidRPr="00986E4A">
        <w:rPr>
          <w:rFonts w:ascii="微软雅黑" w:eastAsia="微软雅黑" w:hAnsi="微软雅黑" w:hint="eastAsia"/>
          <w:b/>
          <w:bCs/>
          <w:color w:val="333333"/>
          <w:bdr w:val="none" w:sz="0" w:space="0" w:color="auto" w:frame="1"/>
        </w:rPr>
        <w:t>第八条</w:t>
      </w:r>
      <w:r w:rsidRPr="009A6EE0">
        <w:rPr>
          <w:rFonts w:ascii="微软雅黑" w:eastAsia="微软雅黑" w:hAnsi="微软雅黑" w:cs="Calibri"/>
          <w:color w:val="333333"/>
          <w:bdr w:val="none" w:sz="0" w:space="0" w:color="auto" w:frame="1"/>
        </w:rPr>
        <w:t> </w:t>
      </w:r>
      <w:r w:rsidRPr="009A6EE0">
        <w:rPr>
          <w:rFonts w:ascii="微软雅黑" w:eastAsia="微软雅黑" w:hAnsi="微软雅黑" w:hint="eastAsia"/>
          <w:color w:val="333333"/>
          <w:bdr w:val="none" w:sz="0" w:space="0" w:color="auto" w:frame="1"/>
        </w:rPr>
        <w:t>加油站除按月向主管税务机关报送增值税一般纳税人纳税申报办法规定的申报资料外，还应报送以下资料：</w:t>
      </w:r>
    </w:p>
    <w:p w:rsidR="00A80588" w:rsidRPr="009A6EE0" w:rsidRDefault="00A80588" w:rsidP="009A6EE0">
      <w:pPr>
        <w:pStyle w:val="a3"/>
        <w:shd w:val="clear" w:color="auto" w:fill="FFFFFF"/>
        <w:spacing w:before="0" w:beforeAutospacing="0" w:after="0" w:afterAutospacing="0" w:line="320" w:lineRule="exact"/>
        <w:ind w:firstLine="480"/>
        <w:rPr>
          <w:rFonts w:ascii="微软雅黑" w:eastAsia="微软雅黑" w:hAnsi="微软雅黑"/>
          <w:color w:val="333333"/>
        </w:rPr>
      </w:pPr>
      <w:r w:rsidRPr="009A6EE0">
        <w:rPr>
          <w:rFonts w:ascii="微软雅黑" w:eastAsia="微软雅黑" w:hAnsi="微软雅黑" w:hint="eastAsia"/>
          <w:color w:val="333333"/>
          <w:bdr w:val="none" w:sz="0" w:space="0" w:color="auto" w:frame="1"/>
        </w:rPr>
        <w:t>（一）《加油站______月份加油信息明细表》（附表3）或加油IC卡；</w:t>
      </w:r>
    </w:p>
    <w:p w:rsidR="00A80588" w:rsidRPr="009A6EE0" w:rsidRDefault="00A80588" w:rsidP="009A6EE0">
      <w:pPr>
        <w:pStyle w:val="a3"/>
        <w:shd w:val="clear" w:color="auto" w:fill="FFFFFF"/>
        <w:spacing w:before="0" w:beforeAutospacing="0" w:after="0" w:afterAutospacing="0" w:line="320" w:lineRule="exact"/>
        <w:ind w:firstLine="480"/>
        <w:rPr>
          <w:rFonts w:ascii="微软雅黑" w:eastAsia="微软雅黑" w:hAnsi="微软雅黑"/>
          <w:color w:val="333333"/>
        </w:rPr>
      </w:pPr>
      <w:r w:rsidRPr="009A6EE0">
        <w:rPr>
          <w:rFonts w:ascii="微软雅黑" w:eastAsia="微软雅黑" w:hAnsi="微软雅黑" w:hint="eastAsia"/>
          <w:color w:val="333333"/>
          <w:bdr w:val="none" w:sz="0" w:space="0" w:color="auto" w:frame="1"/>
        </w:rPr>
        <w:t>（二）《加油站月销售油品汇总表》；</w:t>
      </w:r>
    </w:p>
    <w:p w:rsidR="00A80588" w:rsidRPr="009A6EE0" w:rsidRDefault="00A80588" w:rsidP="009A6EE0">
      <w:pPr>
        <w:pStyle w:val="a3"/>
        <w:shd w:val="clear" w:color="auto" w:fill="FFFFFF"/>
        <w:spacing w:before="0" w:beforeAutospacing="0" w:after="0" w:afterAutospacing="0" w:line="320" w:lineRule="exact"/>
        <w:ind w:firstLine="480"/>
        <w:rPr>
          <w:rFonts w:ascii="微软雅黑" w:eastAsia="微软雅黑" w:hAnsi="微软雅黑"/>
          <w:color w:val="333333"/>
        </w:rPr>
      </w:pPr>
      <w:r w:rsidRPr="009A6EE0">
        <w:rPr>
          <w:rFonts w:ascii="微软雅黑" w:eastAsia="微软雅黑" w:hAnsi="微软雅黑" w:hint="eastAsia"/>
          <w:color w:val="333333"/>
          <w:bdr w:val="none" w:sz="0" w:space="0" w:color="auto" w:frame="1"/>
        </w:rPr>
        <w:t>（三）《成品油购销存数量明细表》（附表4）。</w:t>
      </w:r>
    </w:p>
    <w:p w:rsidR="00A80588" w:rsidRPr="009A6EE0" w:rsidRDefault="00A80588" w:rsidP="009A6EE0">
      <w:pPr>
        <w:pStyle w:val="a3"/>
        <w:shd w:val="clear" w:color="auto" w:fill="FFFFFF"/>
        <w:spacing w:before="0" w:beforeAutospacing="0" w:after="0" w:afterAutospacing="0" w:line="320" w:lineRule="exact"/>
        <w:ind w:firstLine="480"/>
        <w:rPr>
          <w:rFonts w:ascii="微软雅黑" w:eastAsia="微软雅黑" w:hAnsi="微软雅黑"/>
          <w:color w:val="333333"/>
        </w:rPr>
      </w:pPr>
      <w:r w:rsidRPr="00986E4A">
        <w:rPr>
          <w:rFonts w:ascii="微软雅黑" w:eastAsia="微软雅黑" w:hAnsi="微软雅黑" w:hint="eastAsia"/>
          <w:b/>
          <w:bCs/>
          <w:color w:val="333333"/>
          <w:bdr w:val="none" w:sz="0" w:space="0" w:color="auto" w:frame="1"/>
        </w:rPr>
        <w:t>第九条</w:t>
      </w:r>
      <w:r w:rsidRPr="009A6EE0">
        <w:rPr>
          <w:rFonts w:ascii="微软雅黑" w:eastAsia="微软雅黑" w:hAnsi="微软雅黑" w:cs="Calibri"/>
          <w:color w:val="333333"/>
          <w:bdr w:val="none" w:sz="0" w:space="0" w:color="auto" w:frame="1"/>
        </w:rPr>
        <w:t> </w:t>
      </w:r>
      <w:r w:rsidRPr="009A6EE0">
        <w:rPr>
          <w:rFonts w:ascii="微软雅黑" w:eastAsia="微软雅黑" w:hAnsi="微软雅黑" w:hint="eastAsia"/>
          <w:color w:val="333333"/>
          <w:bdr w:val="none" w:sz="0" w:space="0" w:color="auto" w:frame="1"/>
        </w:rPr>
        <w:t>加油站通过加油机加注成品油属于以下情形的，允许在当月成品油销售数量中扣除：</w:t>
      </w:r>
    </w:p>
    <w:p w:rsidR="00A80588" w:rsidRPr="009A6EE0" w:rsidRDefault="00A80588" w:rsidP="009A6EE0">
      <w:pPr>
        <w:pStyle w:val="a3"/>
        <w:shd w:val="clear" w:color="auto" w:fill="FFFFFF"/>
        <w:spacing w:before="0" w:beforeAutospacing="0" w:after="0" w:afterAutospacing="0" w:line="320" w:lineRule="exact"/>
        <w:ind w:firstLine="480"/>
        <w:rPr>
          <w:rFonts w:ascii="微软雅黑" w:eastAsia="微软雅黑" w:hAnsi="微软雅黑"/>
          <w:color w:val="333333"/>
        </w:rPr>
      </w:pPr>
      <w:r w:rsidRPr="009A6EE0">
        <w:rPr>
          <w:rFonts w:ascii="微软雅黑" w:eastAsia="微软雅黑" w:hAnsi="微软雅黑" w:hint="eastAsia"/>
          <w:color w:val="333333"/>
          <w:bdr w:val="none" w:sz="0" w:space="0" w:color="auto" w:frame="1"/>
        </w:rPr>
        <w:t>（一）经主管税务机关确定的加油站自有车辆自用油。</w:t>
      </w:r>
    </w:p>
    <w:p w:rsidR="00A80588" w:rsidRPr="009A6EE0" w:rsidRDefault="00A80588" w:rsidP="009A6EE0">
      <w:pPr>
        <w:pStyle w:val="a3"/>
        <w:shd w:val="clear" w:color="auto" w:fill="FFFFFF"/>
        <w:spacing w:before="0" w:beforeAutospacing="0" w:after="0" w:afterAutospacing="0" w:line="320" w:lineRule="exact"/>
        <w:ind w:firstLine="480"/>
        <w:rPr>
          <w:rFonts w:ascii="微软雅黑" w:eastAsia="微软雅黑" w:hAnsi="微软雅黑"/>
          <w:color w:val="333333"/>
        </w:rPr>
      </w:pPr>
      <w:r w:rsidRPr="009A6EE0">
        <w:rPr>
          <w:rFonts w:ascii="微软雅黑" w:eastAsia="微软雅黑" w:hAnsi="微软雅黑" w:hint="eastAsia"/>
          <w:color w:val="333333"/>
          <w:bdr w:val="none" w:sz="0" w:space="0" w:color="auto" w:frame="1"/>
        </w:rPr>
        <w:t>（二）外单位购买的，利用加油站的油库存放的代储油。</w:t>
      </w:r>
    </w:p>
    <w:p w:rsidR="00A80588" w:rsidRPr="009A6EE0" w:rsidRDefault="00A80588" w:rsidP="009A6EE0">
      <w:pPr>
        <w:pStyle w:val="a3"/>
        <w:shd w:val="clear" w:color="auto" w:fill="FFFFFF"/>
        <w:spacing w:before="0" w:beforeAutospacing="0" w:after="0" w:afterAutospacing="0" w:line="320" w:lineRule="exact"/>
        <w:ind w:firstLine="480"/>
        <w:rPr>
          <w:rFonts w:ascii="微软雅黑" w:eastAsia="微软雅黑" w:hAnsi="微软雅黑"/>
          <w:color w:val="333333"/>
        </w:rPr>
      </w:pPr>
      <w:r w:rsidRPr="009A6EE0">
        <w:rPr>
          <w:rFonts w:ascii="微软雅黑" w:eastAsia="微软雅黑" w:hAnsi="微软雅黑" w:hint="eastAsia"/>
          <w:color w:val="333333"/>
          <w:bdr w:val="none" w:sz="0" w:space="0" w:color="auto" w:frame="1"/>
        </w:rPr>
        <w:t>加油站发生代储油业务时，应</w:t>
      </w:r>
      <w:proofErr w:type="gramStart"/>
      <w:r w:rsidRPr="009A6EE0">
        <w:rPr>
          <w:rFonts w:ascii="微软雅黑" w:eastAsia="微软雅黑" w:hAnsi="微软雅黑" w:hint="eastAsia"/>
          <w:color w:val="333333"/>
          <w:bdr w:val="none" w:sz="0" w:space="0" w:color="auto" w:frame="1"/>
        </w:rPr>
        <w:t>凭委托</w:t>
      </w:r>
      <w:proofErr w:type="gramEnd"/>
      <w:r w:rsidRPr="009A6EE0">
        <w:rPr>
          <w:rFonts w:ascii="微软雅黑" w:eastAsia="微软雅黑" w:hAnsi="微软雅黑" w:hint="eastAsia"/>
          <w:color w:val="333333"/>
          <w:bdr w:val="none" w:sz="0" w:space="0" w:color="auto" w:frame="1"/>
        </w:rPr>
        <w:t>代储协议及委托方购油发票复印件向主管税务机关申报备案。</w:t>
      </w:r>
    </w:p>
    <w:p w:rsidR="00A80588" w:rsidRPr="009A6EE0" w:rsidRDefault="00A80588" w:rsidP="009A6EE0">
      <w:pPr>
        <w:pStyle w:val="a3"/>
        <w:shd w:val="clear" w:color="auto" w:fill="FFFFFF"/>
        <w:spacing w:before="0" w:beforeAutospacing="0" w:after="0" w:afterAutospacing="0" w:line="320" w:lineRule="exact"/>
        <w:ind w:firstLine="480"/>
        <w:rPr>
          <w:rFonts w:ascii="微软雅黑" w:eastAsia="微软雅黑" w:hAnsi="微软雅黑"/>
          <w:color w:val="333333"/>
        </w:rPr>
      </w:pPr>
      <w:r w:rsidRPr="009A6EE0">
        <w:rPr>
          <w:rFonts w:ascii="微软雅黑" w:eastAsia="微软雅黑" w:hAnsi="微软雅黑" w:hint="eastAsia"/>
          <w:color w:val="333333"/>
          <w:bdr w:val="none" w:sz="0" w:space="0" w:color="auto" w:frame="1"/>
        </w:rPr>
        <w:t>（三）加油站本身倒库油。</w:t>
      </w:r>
    </w:p>
    <w:p w:rsidR="00A80588" w:rsidRPr="009A6EE0" w:rsidRDefault="00A80588" w:rsidP="009A6EE0">
      <w:pPr>
        <w:pStyle w:val="a3"/>
        <w:shd w:val="clear" w:color="auto" w:fill="FFFFFF"/>
        <w:spacing w:before="0" w:beforeAutospacing="0" w:after="0" w:afterAutospacing="0" w:line="320" w:lineRule="exact"/>
        <w:ind w:firstLine="480"/>
        <w:rPr>
          <w:rFonts w:ascii="微软雅黑" w:eastAsia="微软雅黑" w:hAnsi="微软雅黑"/>
          <w:color w:val="333333"/>
        </w:rPr>
      </w:pPr>
      <w:r w:rsidRPr="009A6EE0">
        <w:rPr>
          <w:rFonts w:ascii="微软雅黑" w:eastAsia="微软雅黑" w:hAnsi="微软雅黑" w:hint="eastAsia"/>
          <w:color w:val="333333"/>
          <w:bdr w:val="none" w:sz="0" w:space="0" w:color="auto" w:frame="1"/>
        </w:rPr>
        <w:t>加油站发生成品油倒库业务时，须提前向主管税务机关报告说明，由主管税务机关派专人实地审核监控。</w:t>
      </w:r>
    </w:p>
    <w:p w:rsidR="00A80588" w:rsidRPr="009A6EE0" w:rsidRDefault="00A80588" w:rsidP="009A6EE0">
      <w:pPr>
        <w:pStyle w:val="a3"/>
        <w:shd w:val="clear" w:color="auto" w:fill="FFFFFF"/>
        <w:spacing w:before="0" w:beforeAutospacing="0" w:after="0" w:afterAutospacing="0" w:line="320" w:lineRule="exact"/>
        <w:ind w:firstLine="480"/>
        <w:rPr>
          <w:rFonts w:ascii="微软雅黑" w:eastAsia="微软雅黑" w:hAnsi="微软雅黑"/>
          <w:color w:val="333333"/>
        </w:rPr>
      </w:pPr>
      <w:r w:rsidRPr="009A6EE0">
        <w:rPr>
          <w:rFonts w:ascii="微软雅黑" w:eastAsia="微软雅黑" w:hAnsi="微软雅黑" w:hint="eastAsia"/>
          <w:color w:val="333333"/>
          <w:bdr w:val="none" w:sz="0" w:space="0" w:color="auto" w:frame="1"/>
        </w:rPr>
        <w:t>（四）加油站检测用油（</w:t>
      </w:r>
      <w:proofErr w:type="gramStart"/>
      <w:r w:rsidRPr="009A6EE0">
        <w:rPr>
          <w:rFonts w:ascii="微软雅黑" w:eastAsia="微软雅黑" w:hAnsi="微软雅黑" w:hint="eastAsia"/>
          <w:color w:val="333333"/>
          <w:bdr w:val="none" w:sz="0" w:space="0" w:color="auto" w:frame="1"/>
        </w:rPr>
        <w:t>回罐油</w:t>
      </w:r>
      <w:proofErr w:type="gramEnd"/>
      <w:r w:rsidRPr="009A6EE0">
        <w:rPr>
          <w:rFonts w:ascii="微软雅黑" w:eastAsia="微软雅黑" w:hAnsi="微软雅黑" w:hint="eastAsia"/>
          <w:color w:val="333333"/>
          <w:bdr w:val="none" w:sz="0" w:space="0" w:color="auto" w:frame="1"/>
        </w:rPr>
        <w:t>）。</w:t>
      </w:r>
    </w:p>
    <w:p w:rsidR="00A80588" w:rsidRPr="009A6EE0" w:rsidRDefault="00A80588" w:rsidP="009A6EE0">
      <w:pPr>
        <w:pStyle w:val="a3"/>
        <w:shd w:val="clear" w:color="auto" w:fill="FFFFFF"/>
        <w:spacing w:before="0" w:beforeAutospacing="0" w:after="0" w:afterAutospacing="0" w:line="320" w:lineRule="exact"/>
        <w:ind w:firstLine="480"/>
        <w:rPr>
          <w:rFonts w:ascii="微软雅黑" w:eastAsia="微软雅黑" w:hAnsi="微软雅黑"/>
          <w:color w:val="333333"/>
        </w:rPr>
      </w:pPr>
      <w:r w:rsidRPr="009A6EE0">
        <w:rPr>
          <w:rFonts w:ascii="微软雅黑" w:eastAsia="微软雅黑" w:hAnsi="微软雅黑" w:hint="eastAsia"/>
          <w:color w:val="333333"/>
          <w:bdr w:val="none" w:sz="0" w:space="0" w:color="auto" w:frame="1"/>
        </w:rPr>
        <w:t>上述允许扣除的成品油数量，加油站月终应根据《加油站月销售油品汇总表》统计的数量向主管税务机关申报。</w:t>
      </w:r>
    </w:p>
    <w:p w:rsidR="00A80588" w:rsidRPr="009A6EE0" w:rsidRDefault="00A80588" w:rsidP="009A6EE0">
      <w:pPr>
        <w:pStyle w:val="a3"/>
        <w:shd w:val="clear" w:color="auto" w:fill="FFFFFF"/>
        <w:spacing w:before="0" w:beforeAutospacing="0" w:after="0" w:afterAutospacing="0" w:line="320" w:lineRule="exact"/>
        <w:ind w:firstLine="480"/>
        <w:rPr>
          <w:rFonts w:ascii="微软雅黑" w:eastAsia="微软雅黑" w:hAnsi="微软雅黑"/>
          <w:color w:val="333333"/>
        </w:rPr>
      </w:pPr>
      <w:r w:rsidRPr="00986E4A">
        <w:rPr>
          <w:rFonts w:ascii="微软雅黑" w:eastAsia="微软雅黑" w:hAnsi="微软雅黑" w:hint="eastAsia"/>
          <w:b/>
          <w:bCs/>
          <w:color w:val="333333"/>
          <w:bdr w:val="none" w:sz="0" w:space="0" w:color="auto" w:frame="1"/>
        </w:rPr>
        <w:t>第十条</w:t>
      </w:r>
      <w:r w:rsidRPr="009A6EE0">
        <w:rPr>
          <w:rFonts w:ascii="微软雅黑" w:eastAsia="微软雅黑" w:hAnsi="微软雅黑" w:cs="Calibri"/>
          <w:color w:val="333333"/>
          <w:bdr w:val="none" w:sz="0" w:space="0" w:color="auto" w:frame="1"/>
        </w:rPr>
        <w:t> </w:t>
      </w:r>
      <w:r w:rsidRPr="009A6EE0">
        <w:rPr>
          <w:rFonts w:ascii="微软雅黑" w:eastAsia="微软雅黑" w:hAnsi="微软雅黑" w:hint="eastAsia"/>
          <w:color w:val="333333"/>
          <w:bdr w:val="none" w:sz="0" w:space="0" w:color="auto" w:frame="1"/>
        </w:rPr>
        <w:t>成品油生产、批发单位所在地税务机关应按月将其销售成品</w:t>
      </w:r>
      <w:proofErr w:type="gramStart"/>
      <w:r w:rsidRPr="009A6EE0">
        <w:rPr>
          <w:rFonts w:ascii="微软雅黑" w:eastAsia="微软雅黑" w:hAnsi="微软雅黑" w:hint="eastAsia"/>
          <w:color w:val="333333"/>
          <w:bdr w:val="none" w:sz="0" w:space="0" w:color="auto" w:frame="1"/>
        </w:rPr>
        <w:t>油信息</w:t>
      </w:r>
      <w:proofErr w:type="gramEnd"/>
      <w:r w:rsidRPr="009A6EE0">
        <w:rPr>
          <w:rFonts w:ascii="微软雅黑" w:eastAsia="微软雅黑" w:hAnsi="微软雅黑" w:hint="eastAsia"/>
          <w:color w:val="333333"/>
          <w:bdr w:val="none" w:sz="0" w:space="0" w:color="auto" w:frame="1"/>
        </w:rPr>
        <w:t>通过金税工程网络传递到购油企业所在地主管税务机关。</w:t>
      </w:r>
    </w:p>
    <w:p w:rsidR="00A80588" w:rsidRPr="009A6EE0" w:rsidRDefault="00A80588" w:rsidP="009A6EE0">
      <w:pPr>
        <w:pStyle w:val="a3"/>
        <w:shd w:val="clear" w:color="auto" w:fill="FFFFFF"/>
        <w:spacing w:before="0" w:beforeAutospacing="0" w:after="0" w:afterAutospacing="0" w:line="320" w:lineRule="exact"/>
        <w:ind w:firstLine="480"/>
        <w:rPr>
          <w:rFonts w:ascii="微软雅黑" w:eastAsia="微软雅黑" w:hAnsi="微软雅黑"/>
          <w:color w:val="333333"/>
        </w:rPr>
      </w:pPr>
      <w:r w:rsidRPr="00986E4A">
        <w:rPr>
          <w:rFonts w:ascii="微软雅黑" w:eastAsia="微软雅黑" w:hAnsi="微软雅黑" w:hint="eastAsia"/>
          <w:b/>
          <w:bCs/>
          <w:color w:val="333333"/>
          <w:bdr w:val="none" w:sz="0" w:space="0" w:color="auto" w:frame="1"/>
        </w:rPr>
        <w:lastRenderedPageBreak/>
        <w:t>第十一条</w:t>
      </w:r>
      <w:r w:rsidRPr="009A6EE0">
        <w:rPr>
          <w:rFonts w:ascii="微软雅黑" w:eastAsia="微软雅黑" w:hAnsi="微软雅黑" w:cs="Calibri"/>
          <w:color w:val="333333"/>
          <w:bdr w:val="none" w:sz="0" w:space="0" w:color="auto" w:frame="1"/>
        </w:rPr>
        <w:t> </w:t>
      </w:r>
      <w:r w:rsidRPr="009A6EE0">
        <w:rPr>
          <w:rFonts w:ascii="微软雅黑" w:eastAsia="微软雅黑" w:hAnsi="微软雅黑" w:hint="eastAsia"/>
          <w:color w:val="333333"/>
          <w:bdr w:val="none" w:sz="0" w:space="0" w:color="auto" w:frame="1"/>
        </w:rPr>
        <w:t>对财务核算不健全的加油站，如已全部安装税控加油机，应按照税控加油机所记录的数据确定计税销售额征收增值税。对未全部安装税控加油机（包括未安装）或税控加油机运行不正常的加油站，主管税务机关应要求其严格</w:t>
      </w:r>
      <w:proofErr w:type="gramStart"/>
      <w:r w:rsidRPr="009A6EE0">
        <w:rPr>
          <w:rFonts w:ascii="微软雅黑" w:eastAsia="微软雅黑" w:hAnsi="微软雅黑" w:hint="eastAsia"/>
          <w:color w:val="333333"/>
          <w:bdr w:val="none" w:sz="0" w:space="0" w:color="auto" w:frame="1"/>
        </w:rPr>
        <w:t>执行台</w:t>
      </w:r>
      <w:proofErr w:type="gramEnd"/>
      <w:r w:rsidRPr="009A6EE0">
        <w:rPr>
          <w:rFonts w:ascii="微软雅黑" w:eastAsia="微软雅黑" w:hAnsi="微软雅黑" w:hint="eastAsia"/>
          <w:color w:val="333333"/>
          <w:bdr w:val="none" w:sz="0" w:space="0" w:color="auto" w:frame="1"/>
        </w:rPr>
        <w:t>账制度，并按月报送《成品油购销存数量明细表》。按月对其成品油库存数量进行盘点，定期联合有关执法部门对其进行检查。</w:t>
      </w:r>
    </w:p>
    <w:p w:rsidR="00A80588" w:rsidRPr="009A6EE0" w:rsidRDefault="00A80588" w:rsidP="009A6EE0">
      <w:pPr>
        <w:pStyle w:val="a3"/>
        <w:shd w:val="clear" w:color="auto" w:fill="FFFFFF"/>
        <w:spacing w:before="0" w:beforeAutospacing="0" w:after="0" w:afterAutospacing="0" w:line="320" w:lineRule="exact"/>
        <w:ind w:firstLine="480"/>
        <w:rPr>
          <w:rFonts w:ascii="微软雅黑" w:eastAsia="微软雅黑" w:hAnsi="微软雅黑"/>
          <w:color w:val="333333"/>
        </w:rPr>
      </w:pPr>
      <w:r w:rsidRPr="009A6EE0">
        <w:rPr>
          <w:rFonts w:ascii="微软雅黑" w:eastAsia="微软雅黑" w:hAnsi="微软雅黑" w:hint="eastAsia"/>
          <w:color w:val="333333"/>
          <w:bdr w:val="none" w:sz="0" w:space="0" w:color="auto" w:frame="1"/>
        </w:rPr>
        <w:t>主管税务机关应将财务核算不健全的加油站全部纳入增值税纳税评估范围，结合通过金税工程网络所掌握的企业购油信息以及本地区同行业的税负水平等相关信息，按照《国家税务总局关于加强商贸企业增值税纳税评估工作的通知》（国税发〔2001〕140号）的有关规定进行增值税纳税评估。对纳税评估有异常的，应立即移送稽查部门进行税务稽查。</w:t>
      </w:r>
    </w:p>
    <w:p w:rsidR="00A80588" w:rsidRPr="009A6EE0" w:rsidRDefault="00A80588" w:rsidP="009A6EE0">
      <w:pPr>
        <w:pStyle w:val="a3"/>
        <w:shd w:val="clear" w:color="auto" w:fill="FFFFFF"/>
        <w:spacing w:before="0" w:beforeAutospacing="0" w:after="0" w:afterAutospacing="0" w:line="320" w:lineRule="exact"/>
        <w:ind w:firstLine="480"/>
        <w:rPr>
          <w:rFonts w:ascii="微软雅黑" w:eastAsia="微软雅黑" w:hAnsi="微软雅黑"/>
          <w:color w:val="333333"/>
        </w:rPr>
      </w:pPr>
      <w:r w:rsidRPr="009A6EE0">
        <w:rPr>
          <w:rFonts w:ascii="微软雅黑" w:eastAsia="微软雅黑" w:hAnsi="微软雅黑" w:hint="eastAsia"/>
          <w:color w:val="333333"/>
          <w:bdr w:val="none" w:sz="0" w:space="0" w:color="auto" w:frame="1"/>
        </w:rPr>
        <w:t>主管税务机关对财务核算不健全的加油站可以根据所掌握的企业实际经营状况，核定征收增值税。</w:t>
      </w:r>
    </w:p>
    <w:p w:rsidR="00A80588" w:rsidRPr="009A6EE0" w:rsidRDefault="00A80588" w:rsidP="009A6EE0">
      <w:pPr>
        <w:pStyle w:val="a3"/>
        <w:shd w:val="clear" w:color="auto" w:fill="FFFFFF"/>
        <w:spacing w:before="0" w:beforeAutospacing="0" w:after="0" w:afterAutospacing="0" w:line="320" w:lineRule="exact"/>
        <w:ind w:firstLine="480"/>
        <w:rPr>
          <w:rFonts w:ascii="微软雅黑" w:eastAsia="微软雅黑" w:hAnsi="微软雅黑"/>
          <w:color w:val="333333"/>
        </w:rPr>
      </w:pPr>
      <w:r w:rsidRPr="009A6EE0">
        <w:rPr>
          <w:rFonts w:ascii="微软雅黑" w:eastAsia="微软雅黑" w:hAnsi="微软雅黑" w:hint="eastAsia"/>
          <w:color w:val="333333"/>
          <w:bdr w:val="none" w:sz="0" w:space="0" w:color="auto" w:frame="1"/>
        </w:rPr>
        <w:t>财务核算不健全的加油站，主管税务机关应根据其实际经营情况和专用发票使用管理规定限量供应专用发票。</w:t>
      </w:r>
    </w:p>
    <w:p w:rsidR="00A80588" w:rsidRPr="009A6EE0" w:rsidRDefault="00A80588" w:rsidP="009A6EE0">
      <w:pPr>
        <w:pStyle w:val="a3"/>
        <w:shd w:val="clear" w:color="auto" w:fill="FFFFFF"/>
        <w:spacing w:before="0" w:beforeAutospacing="0" w:after="0" w:afterAutospacing="0" w:line="320" w:lineRule="exact"/>
        <w:ind w:firstLine="480"/>
        <w:rPr>
          <w:rFonts w:ascii="微软雅黑" w:eastAsia="微软雅黑" w:hAnsi="微软雅黑"/>
          <w:color w:val="333333"/>
        </w:rPr>
      </w:pPr>
      <w:r w:rsidRPr="00986E4A">
        <w:rPr>
          <w:rFonts w:ascii="微软雅黑" w:eastAsia="微软雅黑" w:hAnsi="微软雅黑" w:hint="eastAsia"/>
          <w:b/>
          <w:bCs/>
          <w:color w:val="333333"/>
          <w:bdr w:val="none" w:sz="0" w:space="0" w:color="auto" w:frame="1"/>
        </w:rPr>
        <w:t>第十二条</w:t>
      </w:r>
      <w:r w:rsidRPr="009A6EE0">
        <w:rPr>
          <w:rFonts w:ascii="微软雅黑" w:eastAsia="微软雅黑" w:hAnsi="微软雅黑" w:cs="Calibri"/>
          <w:color w:val="333333"/>
          <w:bdr w:val="none" w:sz="0" w:space="0" w:color="auto" w:frame="1"/>
        </w:rPr>
        <w:t> </w:t>
      </w:r>
      <w:r w:rsidRPr="009A6EE0">
        <w:rPr>
          <w:rFonts w:ascii="微软雅黑" w:eastAsia="微软雅黑" w:hAnsi="微软雅黑" w:hint="eastAsia"/>
          <w:color w:val="333333"/>
          <w:bdr w:val="none" w:sz="0" w:space="0" w:color="auto" w:frame="1"/>
        </w:rPr>
        <w:t>发售加油卡、加油凭证销售成品油的纳税人（以下简称“预售单位”）在售卖加油卡、加油凭证时，应按预收账款方法作相关账务处理，不征收增值税。</w:t>
      </w:r>
    </w:p>
    <w:p w:rsidR="00A80588" w:rsidRPr="009A6EE0" w:rsidRDefault="00A80588" w:rsidP="009A6EE0">
      <w:pPr>
        <w:pStyle w:val="a3"/>
        <w:shd w:val="clear" w:color="auto" w:fill="FFFFFF"/>
        <w:spacing w:before="0" w:beforeAutospacing="0" w:after="0" w:afterAutospacing="0" w:line="320" w:lineRule="exact"/>
        <w:ind w:firstLine="480"/>
        <w:rPr>
          <w:rFonts w:ascii="微软雅黑" w:eastAsia="微软雅黑" w:hAnsi="微软雅黑"/>
          <w:color w:val="333333"/>
        </w:rPr>
      </w:pPr>
      <w:r w:rsidRPr="009A6EE0">
        <w:rPr>
          <w:rFonts w:ascii="微软雅黑" w:eastAsia="微软雅黑" w:hAnsi="微软雅黑" w:hint="eastAsia"/>
          <w:color w:val="333333"/>
          <w:bdr w:val="none" w:sz="0" w:space="0" w:color="auto" w:frame="1"/>
        </w:rPr>
        <w:t>预售单位在发售加油卡或加油凭证时可开具普通发票，如购油单位要求开具增值税专用发票，待用户凭卡或加油凭证加油后，根据加油卡或加油凭证回笼记录，向购油单位开具增值税专用发票。接受加油卡或加油凭证销售成品油的单位与预售单位结算油款时，接受加油卡或加油凭证销售成品油的单位根据实际结算的油款向预售单位开具增值税专用发票。</w:t>
      </w:r>
    </w:p>
    <w:p w:rsidR="00A80588" w:rsidRPr="009A6EE0" w:rsidRDefault="00A80588" w:rsidP="009A6EE0">
      <w:pPr>
        <w:pStyle w:val="a3"/>
        <w:shd w:val="clear" w:color="auto" w:fill="FFFFFF"/>
        <w:spacing w:before="0" w:beforeAutospacing="0" w:after="0" w:afterAutospacing="0" w:line="320" w:lineRule="exact"/>
        <w:ind w:firstLine="480"/>
        <w:rPr>
          <w:rFonts w:ascii="微软雅黑" w:eastAsia="微软雅黑" w:hAnsi="微软雅黑"/>
          <w:color w:val="333333"/>
        </w:rPr>
      </w:pPr>
      <w:r w:rsidRPr="00986E4A">
        <w:rPr>
          <w:rFonts w:ascii="微软雅黑" w:eastAsia="微软雅黑" w:hAnsi="微软雅黑" w:hint="eastAsia"/>
          <w:b/>
          <w:bCs/>
          <w:color w:val="333333"/>
          <w:bdr w:val="none" w:sz="0" w:space="0" w:color="auto" w:frame="1"/>
        </w:rPr>
        <w:t>第十三条</w:t>
      </w:r>
      <w:r w:rsidRPr="009A6EE0">
        <w:rPr>
          <w:rFonts w:ascii="微软雅黑" w:eastAsia="微软雅黑" w:hAnsi="微软雅黑" w:cs="Calibri"/>
          <w:color w:val="333333"/>
          <w:bdr w:val="none" w:sz="0" w:space="0" w:color="auto" w:frame="1"/>
        </w:rPr>
        <w:t> </w:t>
      </w:r>
      <w:r w:rsidRPr="009A6EE0">
        <w:rPr>
          <w:rFonts w:ascii="微软雅黑" w:eastAsia="微软雅黑" w:hAnsi="微软雅黑" w:hint="eastAsia"/>
          <w:color w:val="333333"/>
          <w:bdr w:val="none" w:sz="0" w:space="0" w:color="auto" w:frame="1"/>
        </w:rPr>
        <w:t>主管税务机关每季度应对所辖加油站运用</w:t>
      </w:r>
      <w:proofErr w:type="gramStart"/>
      <w:r w:rsidRPr="009A6EE0">
        <w:rPr>
          <w:rFonts w:ascii="微软雅黑" w:eastAsia="微软雅黑" w:hAnsi="微软雅黑" w:hint="eastAsia"/>
          <w:color w:val="333333"/>
          <w:bdr w:val="none" w:sz="0" w:space="0" w:color="auto" w:frame="1"/>
        </w:rPr>
        <w:t>稽查卡</w:t>
      </w:r>
      <w:proofErr w:type="gramEnd"/>
      <w:r w:rsidRPr="009A6EE0">
        <w:rPr>
          <w:rFonts w:ascii="微软雅黑" w:eastAsia="微软雅黑" w:hAnsi="微软雅黑" w:hint="eastAsia"/>
          <w:color w:val="333333"/>
          <w:bdr w:val="none" w:sz="0" w:space="0" w:color="auto" w:frame="1"/>
        </w:rPr>
        <w:t>进行1次加油数据读取，并将读出的数据与该加油站的《增值税纳税申报表》、《加油站日销售油品台账》、《加油站月销售油品汇总表》等资料进行核对，同时应对加油站的应扣除油量的确定</w:t>
      </w:r>
      <w:bookmarkStart w:id="0" w:name="_GoBack"/>
      <w:bookmarkEnd w:id="0"/>
      <w:r w:rsidRPr="009A6EE0">
        <w:rPr>
          <w:rFonts w:ascii="微软雅黑" w:eastAsia="微软雅黑" w:hAnsi="微软雅黑" w:hint="eastAsia"/>
          <w:color w:val="333333"/>
          <w:bdr w:val="none" w:sz="0" w:space="0" w:color="auto" w:frame="1"/>
        </w:rPr>
        <w:t>、成品油购销存等情况进行全面纳税检查。</w:t>
      </w:r>
    </w:p>
    <w:p w:rsidR="00A80588" w:rsidRPr="009A6EE0" w:rsidRDefault="00A80588" w:rsidP="009A6EE0">
      <w:pPr>
        <w:pStyle w:val="a3"/>
        <w:shd w:val="clear" w:color="auto" w:fill="FFFFFF"/>
        <w:spacing w:before="0" w:beforeAutospacing="0" w:after="0" w:afterAutospacing="0" w:line="320" w:lineRule="exact"/>
        <w:ind w:firstLine="480"/>
        <w:rPr>
          <w:rFonts w:ascii="微软雅黑" w:eastAsia="微软雅黑" w:hAnsi="微软雅黑"/>
          <w:color w:val="333333"/>
          <w:bdr w:val="none" w:sz="0" w:space="0" w:color="auto" w:frame="1"/>
        </w:rPr>
      </w:pPr>
      <w:r w:rsidRPr="00986E4A">
        <w:rPr>
          <w:rFonts w:ascii="微软雅黑" w:eastAsia="微软雅黑" w:hAnsi="微软雅黑" w:hint="eastAsia"/>
          <w:b/>
          <w:bCs/>
          <w:color w:val="333333"/>
          <w:bdr w:val="none" w:sz="0" w:space="0" w:color="auto" w:frame="1"/>
        </w:rPr>
        <w:t>第十四条</w:t>
      </w:r>
      <w:r w:rsidRPr="009A6EE0">
        <w:rPr>
          <w:rFonts w:ascii="微软雅黑" w:eastAsia="微软雅黑" w:hAnsi="微软雅黑" w:cs="Calibri"/>
          <w:color w:val="333333"/>
          <w:bdr w:val="none" w:sz="0" w:space="0" w:color="auto" w:frame="1"/>
        </w:rPr>
        <w:t> </w:t>
      </w:r>
      <w:r w:rsidRPr="009A6EE0">
        <w:rPr>
          <w:rFonts w:ascii="微软雅黑" w:eastAsia="微软雅黑" w:hAnsi="微软雅黑" w:hint="eastAsia"/>
          <w:color w:val="333333"/>
          <w:bdr w:val="none" w:sz="0" w:space="0" w:color="auto" w:frame="1"/>
        </w:rPr>
        <w:t>本办法自2002年5月1日起执行。</w:t>
      </w:r>
    </w:p>
    <w:p w:rsidR="009A6EE0" w:rsidRPr="009A6EE0" w:rsidRDefault="009A6EE0" w:rsidP="009A6EE0">
      <w:pPr>
        <w:pStyle w:val="a3"/>
        <w:shd w:val="clear" w:color="auto" w:fill="FFFFFF"/>
        <w:spacing w:before="0" w:beforeAutospacing="0" w:after="0" w:afterAutospacing="0" w:line="320" w:lineRule="exact"/>
        <w:ind w:firstLine="480"/>
        <w:rPr>
          <w:rFonts w:ascii="微软雅黑" w:eastAsia="微软雅黑" w:hAnsi="微软雅黑" w:hint="eastAsia"/>
          <w:color w:val="333333"/>
        </w:rPr>
      </w:pPr>
    </w:p>
    <w:p w:rsidR="00A80588" w:rsidRPr="009A6EE0" w:rsidRDefault="00A80588" w:rsidP="009A6EE0">
      <w:pPr>
        <w:pStyle w:val="a3"/>
        <w:shd w:val="clear" w:color="auto" w:fill="FFFFFF"/>
        <w:spacing w:before="0" w:beforeAutospacing="0" w:after="0" w:afterAutospacing="0" w:line="320" w:lineRule="exact"/>
        <w:ind w:firstLine="480"/>
        <w:rPr>
          <w:rFonts w:ascii="微软雅黑" w:eastAsia="微软雅黑" w:hAnsi="微软雅黑"/>
          <w:color w:val="333333"/>
        </w:rPr>
      </w:pPr>
      <w:r w:rsidRPr="009A6EE0">
        <w:rPr>
          <w:rFonts w:ascii="微软雅黑" w:eastAsia="微软雅黑" w:hAnsi="微软雅黑" w:hint="eastAsia"/>
          <w:color w:val="333333"/>
          <w:bdr w:val="none" w:sz="0" w:space="0" w:color="auto" w:frame="1"/>
        </w:rPr>
        <w:t>附表：1.加油站日销售成品油台账</w:t>
      </w:r>
    </w:p>
    <w:p w:rsidR="00A80588" w:rsidRPr="009A6EE0" w:rsidRDefault="00A80588" w:rsidP="009A6EE0">
      <w:pPr>
        <w:pStyle w:val="a3"/>
        <w:shd w:val="clear" w:color="auto" w:fill="FFFFFF"/>
        <w:spacing w:before="0" w:beforeAutospacing="0" w:after="0" w:afterAutospacing="0" w:line="320" w:lineRule="exact"/>
        <w:ind w:firstLine="480"/>
        <w:rPr>
          <w:rFonts w:ascii="微软雅黑" w:eastAsia="微软雅黑" w:hAnsi="微软雅黑"/>
          <w:color w:val="333333"/>
        </w:rPr>
      </w:pPr>
      <w:r w:rsidRPr="009A6EE0">
        <w:rPr>
          <w:rFonts w:ascii="微软雅黑" w:eastAsia="微软雅黑" w:hAnsi="微软雅黑" w:hint="eastAsia"/>
          <w:color w:val="333333"/>
          <w:bdr w:val="none" w:sz="0" w:space="0" w:color="auto" w:frame="1"/>
        </w:rPr>
        <w:t xml:space="preserve">　　　2.加油站月销售油品汇总表</w:t>
      </w:r>
    </w:p>
    <w:p w:rsidR="00A80588" w:rsidRPr="009A6EE0" w:rsidRDefault="00A80588" w:rsidP="009A6EE0">
      <w:pPr>
        <w:pStyle w:val="a3"/>
        <w:shd w:val="clear" w:color="auto" w:fill="FFFFFF"/>
        <w:spacing w:before="0" w:beforeAutospacing="0" w:after="0" w:afterAutospacing="0" w:line="320" w:lineRule="exact"/>
        <w:ind w:firstLine="480"/>
        <w:rPr>
          <w:rFonts w:ascii="微软雅黑" w:eastAsia="微软雅黑" w:hAnsi="微软雅黑"/>
          <w:color w:val="333333"/>
        </w:rPr>
      </w:pPr>
      <w:r w:rsidRPr="009A6EE0">
        <w:rPr>
          <w:rFonts w:ascii="微软雅黑" w:eastAsia="微软雅黑" w:hAnsi="微软雅黑" w:hint="eastAsia"/>
          <w:color w:val="333333"/>
          <w:bdr w:val="none" w:sz="0" w:space="0" w:color="auto" w:frame="1"/>
        </w:rPr>
        <w:t xml:space="preserve">　　　3.加油站_________月份加油信息明细表</w:t>
      </w:r>
    </w:p>
    <w:p w:rsidR="00F34711" w:rsidRPr="009A6EE0" w:rsidRDefault="00A80588" w:rsidP="009A6EE0">
      <w:pPr>
        <w:pStyle w:val="a3"/>
        <w:shd w:val="clear" w:color="auto" w:fill="FFFFFF"/>
        <w:spacing w:before="0" w:beforeAutospacing="0" w:after="0" w:afterAutospacing="0" w:line="320" w:lineRule="exact"/>
        <w:ind w:firstLine="480"/>
        <w:rPr>
          <w:rFonts w:ascii="微软雅黑" w:eastAsia="微软雅黑" w:hAnsi="微软雅黑" w:hint="eastAsia"/>
          <w:color w:val="333333"/>
        </w:rPr>
      </w:pPr>
      <w:r w:rsidRPr="009A6EE0">
        <w:rPr>
          <w:rFonts w:ascii="微软雅黑" w:eastAsia="微软雅黑" w:hAnsi="微软雅黑" w:hint="eastAsia"/>
          <w:color w:val="333333"/>
          <w:bdr w:val="none" w:sz="0" w:space="0" w:color="auto" w:frame="1"/>
        </w:rPr>
        <w:t xml:space="preserve">　　　4.成品油购销</w:t>
      </w:r>
      <w:proofErr w:type="gramStart"/>
      <w:r w:rsidRPr="009A6EE0">
        <w:rPr>
          <w:rFonts w:ascii="微软雅黑" w:eastAsia="微软雅黑" w:hAnsi="微软雅黑" w:hint="eastAsia"/>
          <w:color w:val="333333"/>
          <w:bdr w:val="none" w:sz="0" w:space="0" w:color="auto" w:frame="1"/>
        </w:rPr>
        <w:t>存数量</w:t>
      </w:r>
      <w:proofErr w:type="gramEnd"/>
      <w:r w:rsidRPr="009A6EE0">
        <w:rPr>
          <w:rFonts w:ascii="微软雅黑" w:eastAsia="微软雅黑" w:hAnsi="微软雅黑" w:hint="eastAsia"/>
          <w:color w:val="333333"/>
          <w:bdr w:val="none" w:sz="0" w:space="0" w:color="auto" w:frame="1"/>
        </w:rPr>
        <w:t>明细表</w:t>
      </w:r>
    </w:p>
    <w:sectPr w:rsidR="00F34711" w:rsidRPr="009A6EE0" w:rsidSect="009A6EE0">
      <w:footerReference w:type="default" r:id="rId6"/>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4BA4" w:rsidRDefault="00FE4BA4" w:rsidP="009A6EE0">
      <w:r>
        <w:separator/>
      </w:r>
    </w:p>
  </w:endnote>
  <w:endnote w:type="continuationSeparator" w:id="0">
    <w:p w:rsidR="00FE4BA4" w:rsidRDefault="00FE4BA4" w:rsidP="009A6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172460"/>
      <w:docPartObj>
        <w:docPartGallery w:val="Page Numbers (Bottom of Page)"/>
        <w:docPartUnique/>
      </w:docPartObj>
    </w:sdtPr>
    <w:sdtContent>
      <w:p w:rsidR="009A6EE0" w:rsidRDefault="009A6EE0">
        <w:pPr>
          <w:pStyle w:val="a6"/>
          <w:jc w:val="right"/>
        </w:pPr>
        <w:r w:rsidRPr="009A6EE0">
          <w:rPr>
            <w:sz w:val="28"/>
            <w:szCs w:val="28"/>
          </w:rPr>
          <w:fldChar w:fldCharType="begin"/>
        </w:r>
        <w:r w:rsidRPr="009A6EE0">
          <w:rPr>
            <w:sz w:val="28"/>
            <w:szCs w:val="28"/>
          </w:rPr>
          <w:instrText>PAGE   \* MERGEFORMAT</w:instrText>
        </w:r>
        <w:r w:rsidRPr="009A6EE0">
          <w:rPr>
            <w:sz w:val="28"/>
            <w:szCs w:val="28"/>
          </w:rPr>
          <w:fldChar w:fldCharType="separate"/>
        </w:r>
        <w:r w:rsidRPr="009A6EE0">
          <w:rPr>
            <w:sz w:val="28"/>
            <w:szCs w:val="28"/>
            <w:lang w:val="zh-CN"/>
          </w:rPr>
          <w:t>2</w:t>
        </w:r>
        <w:r w:rsidRPr="009A6EE0">
          <w:rPr>
            <w:sz w:val="28"/>
            <w:szCs w:val="28"/>
          </w:rPr>
          <w:fldChar w:fldCharType="end"/>
        </w:r>
      </w:p>
    </w:sdtContent>
  </w:sdt>
  <w:p w:rsidR="009A6EE0" w:rsidRDefault="009A6EE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4BA4" w:rsidRDefault="00FE4BA4" w:rsidP="009A6EE0">
      <w:r>
        <w:separator/>
      </w:r>
    </w:p>
  </w:footnote>
  <w:footnote w:type="continuationSeparator" w:id="0">
    <w:p w:rsidR="00FE4BA4" w:rsidRDefault="00FE4BA4" w:rsidP="009A6E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588"/>
    <w:rsid w:val="00986E4A"/>
    <w:rsid w:val="009A6EE0"/>
    <w:rsid w:val="00A80588"/>
    <w:rsid w:val="00F34711"/>
    <w:rsid w:val="00FE4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EB476"/>
  <w15:chartTrackingRefBased/>
  <w15:docId w15:val="{51066CC8-7992-4132-9B39-11144D651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0588"/>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9A6EE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A6EE0"/>
    <w:rPr>
      <w:sz w:val="18"/>
      <w:szCs w:val="18"/>
    </w:rPr>
  </w:style>
  <w:style w:type="paragraph" w:styleId="a6">
    <w:name w:val="footer"/>
    <w:basedOn w:val="a"/>
    <w:link w:val="a7"/>
    <w:uiPriority w:val="99"/>
    <w:unhideWhenUsed/>
    <w:rsid w:val="009A6EE0"/>
    <w:pPr>
      <w:tabs>
        <w:tab w:val="center" w:pos="4153"/>
        <w:tab w:val="right" w:pos="8306"/>
      </w:tabs>
      <w:snapToGrid w:val="0"/>
      <w:jc w:val="left"/>
    </w:pPr>
    <w:rPr>
      <w:sz w:val="18"/>
      <w:szCs w:val="18"/>
    </w:rPr>
  </w:style>
  <w:style w:type="character" w:customStyle="1" w:styleId="a7">
    <w:name w:val="页脚 字符"/>
    <w:basedOn w:val="a0"/>
    <w:link w:val="a6"/>
    <w:uiPriority w:val="99"/>
    <w:rsid w:val="009A6EE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48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327</Words>
  <Characters>1868</Characters>
  <Application>Microsoft Office Word</Application>
  <DocSecurity>0</DocSecurity>
  <Lines>15</Lines>
  <Paragraphs>4</Paragraphs>
  <ScaleCrop>false</ScaleCrop>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3</cp:revision>
  <dcterms:created xsi:type="dcterms:W3CDTF">2025-09-21T14:35:00Z</dcterms:created>
  <dcterms:modified xsi:type="dcterms:W3CDTF">2025-09-21T14:56:00Z</dcterms:modified>
</cp:coreProperties>
</file>